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Datafeed</w:t>
      </w:r>
      <w:r>
        <w:rPr>
          <w:rFonts w:ascii="Times New Roman" w:hAnsi="Times New Roman" w:cs="Times New Roman"/>
          <w:b/>
          <w:sz w:val="30"/>
          <w:szCs w:val="30"/>
        </w:rPr>
        <w:t xml:space="preserve"> Usage Form</w:t>
      </w:r>
      <w:r>
        <w:rPr>
          <w:rFonts w:hint="eastAsia" w:ascii="Times New Roman" w:hAnsi="Times New Roman" w:cs="Times New Roman"/>
          <w:b/>
          <w:sz w:val="30"/>
          <w:szCs w:val="30"/>
        </w:rPr>
        <w:t xml:space="preserve"> of SZSE Real-time Market Data</w:t>
      </w:r>
    </w:p>
    <w:p>
      <w:pPr>
        <w:jc w:val="right"/>
        <w:rPr>
          <w:rFonts w:hint="default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Version 2022-11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Subscribers that access and use the SZSE Real-time Market Data via 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atafeed service are required to complete</w:t>
      </w:r>
      <w:r>
        <w:rPr>
          <w:rFonts w:hint="eastAsia" w:ascii="Times New Roman" w:hAnsi="Times New Roman" w:cs="Times New Roman"/>
        </w:rPr>
        <w:t xml:space="preserve"> and submit</w:t>
      </w:r>
      <w:r>
        <w:rPr>
          <w:rFonts w:ascii="Times New Roman" w:hAnsi="Times New Roman" w:cs="Times New Roman"/>
        </w:rPr>
        <w:t xml:space="preserve"> this </w:t>
      </w:r>
      <w:r>
        <w:rPr>
          <w:rFonts w:ascii="Times New Roman" w:hAnsi="Times New Roman" w:cs="Times New Roman"/>
          <w:i/>
        </w:rPr>
        <w:t>Datafeed Usage Form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to SSIC </w:t>
      </w:r>
      <w:r>
        <w:rPr>
          <w:rFonts w:hint="eastAsia" w:ascii="Times New Roman" w:hAnsi="Times New Roman" w:cs="Times New Roman"/>
          <w:lang w:val="en-US" w:eastAsia="zh-CN"/>
        </w:rPr>
        <w:t xml:space="preserve">via </w:t>
      </w:r>
      <w:r>
        <w:rPr>
          <w:rFonts w:hint="eastAsia" w:ascii="Times New Roman" w:hAnsi="Times New Roman" w:cs="Times New Roman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lang w:val="en-US" w:eastAsia="zh-CN"/>
        </w:rPr>
        <w:instrText xml:space="preserve"> HYPERLINK "mailto:reports@cninfo.com.cn" </w:instrText>
      </w:r>
      <w:r>
        <w:rPr>
          <w:rFonts w:hint="eastAsia" w:ascii="Times New Roman" w:hAnsi="Times New Roman" w:cs="Times New Roman"/>
          <w:lang w:val="en-US" w:eastAsia="zh-CN"/>
        </w:rPr>
        <w:fldChar w:fldCharType="separate"/>
      </w:r>
      <w:r>
        <w:rPr>
          <w:rStyle w:val="9"/>
          <w:rFonts w:hint="eastAsia" w:ascii="Times New Roman" w:hAnsi="Times New Roman" w:cs="Times New Roman"/>
          <w:lang w:val="en-US" w:eastAsia="zh-CN"/>
        </w:rPr>
        <w:t>reports@cninfo.com.cn</w:t>
      </w:r>
      <w:r>
        <w:rPr>
          <w:rFonts w:hint="eastAsia" w:ascii="Times New Roman" w:hAnsi="Times New Roman" w:cs="Times New Roman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</w:rPr>
        <w:t xml:space="preserve">for prior approval before connecting the Datafeed from Vendors and update the form prior to the actual change should there be any subsequent changes. </w:t>
      </w:r>
    </w:p>
    <w:p>
      <w:pPr>
        <w:wordWrap w:val="0"/>
        <w:ind w:right="440"/>
        <w:rPr>
          <w:rFonts w:ascii="Times New Roman" w:hAnsi="Times New Roman" w:cs="Times New Roman"/>
        </w:rPr>
      </w:pP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Subscriber Name</w:t>
            </w:r>
          </w:p>
        </w:tc>
        <w:tc>
          <w:tcPr>
            <w:tcW w:w="7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Subscriber Address</w:t>
            </w:r>
          </w:p>
        </w:tc>
        <w:tc>
          <w:tcPr>
            <w:tcW w:w="7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Effective Date</w:t>
            </w:r>
          </w:p>
        </w:tc>
        <w:tc>
          <w:tcPr>
            <w:tcW w:w="7253" w:type="dxa"/>
          </w:tcPr>
          <w:p>
            <w:pPr>
              <w:rPr>
                <w:rFonts w:ascii="Times New Roman" w:hAnsi="Times New Roman" w:cs="Times New Roman"/>
                <w:i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 xml:space="preserve">Please provide the date to start accessing </w:t>
            </w:r>
            <w:r>
              <w:rPr>
                <w:rFonts w:hint="eastAsia" w:ascii="Times New Roman" w:hAnsi="Times New Roman" w:cs="Times New Roman"/>
                <w:i/>
                <w:color w:val="A6A6A6" w:themeColor="background1" w:themeShade="A6"/>
              </w:rPr>
              <w:t>Real-time Market Data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 xml:space="preserve"> via </w:t>
            </w:r>
            <w:r>
              <w:rPr>
                <w:rFonts w:hint="eastAsia" w:ascii="Times New Roman" w:hAnsi="Times New Roman" w:cs="Times New Roman"/>
                <w:i/>
                <w:color w:val="A6A6A6" w:themeColor="background1" w:themeShade="A6"/>
              </w:rPr>
              <w:t>a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 xml:space="preserve"> datafeed</w:t>
            </w:r>
            <w:r>
              <w:rPr>
                <w:rFonts w:hint="eastAsia" w:ascii="Times New Roman" w:hAnsi="Times New Roman" w:cs="Times New Roman"/>
                <w:i/>
                <w:color w:val="A6A6A6" w:themeColor="background1" w:themeShade="A6"/>
                <w:lang w:val="en-US" w:eastAsia="zh-CN"/>
              </w:rPr>
              <w:t xml:space="preserve"> for the data usage in section 3 below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</w:rPr>
              <w:t>.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Category of Data</w:t>
      </w:r>
    </w:p>
    <w:p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77908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MS Mincho" w:cs="Times New Roman"/>
            </w:rPr>
            <w:object>
              <v:shape id="_x0000_i1025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7" w:name="CheckBox2" w:shapeid="_x0000_i1025"/>
            </w:object>
          </w:r>
        </w:sdtContent>
      </w:sdt>
      <w:r>
        <w:rPr>
          <w:rFonts w:ascii="Times New Roman" w:hAnsi="Times New Roman" w:cs="Times New Roman"/>
        </w:rPr>
        <w:t xml:space="preserve">Level 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Real-time </w:t>
      </w:r>
      <w:r>
        <w:rPr>
          <w:rFonts w:hint="eastAsia" w:ascii="Times New Roman" w:hAnsi="Times New Roman" w:cs="Times New Roman"/>
          <w:sz w:val="24"/>
          <w:szCs w:val="24"/>
        </w:rPr>
        <w:t xml:space="preserve">Securities </w:t>
      </w:r>
      <w:r>
        <w:rPr>
          <w:rFonts w:hint="eastAsia" w:ascii="Times New Roman" w:hAnsi="Times New Roman" w:cs="Times New Roman"/>
        </w:rPr>
        <w:t xml:space="preserve">Market </w:t>
      </w:r>
      <w:r>
        <w:rPr>
          <w:rFonts w:ascii="Times New Roman" w:hAnsi="Times New Roman" w:cs="Times New Roman"/>
        </w:rPr>
        <w:t>Datafeed</w:t>
      </w:r>
      <w:r>
        <w:rPr>
          <w:rFonts w:hint="eastAsia" w:ascii="Times New Roman" w:hAnsi="Times New Roman" w:cs="Times New Roman"/>
        </w:rPr>
        <w:t xml:space="preserve"> (L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</w:rPr>
        <w:t xml:space="preserve"> datafeed)</w:t>
      </w:r>
    </w:p>
    <w:p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977908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MS Mincho" w:cs="Times New Roman"/>
            </w:rPr>
            <w:object>
              <v:shape id="_x0000_i1026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9" w:name="CheckBox114" w:shapeid="_x0000_i1026"/>
            </w:object>
          </w:r>
        </w:sdtContent>
      </w:sdt>
      <w:r>
        <w:rPr>
          <w:rFonts w:ascii="Times New Roman" w:hAnsi="Times New Roman" w:cs="Times New Roman"/>
        </w:rPr>
        <w:t xml:space="preserve">Level 2 </w:t>
      </w:r>
      <w:r>
        <w:rPr>
          <w:rFonts w:hint="eastAsia" w:ascii="Times New Roman" w:hAnsi="Times New Roman" w:cs="Times New Roman"/>
        </w:rPr>
        <w:t xml:space="preserve">Real-time </w:t>
      </w:r>
      <w:r>
        <w:rPr>
          <w:rFonts w:hint="eastAsia" w:ascii="Times New Roman" w:hAnsi="Times New Roman" w:cs="Times New Roman"/>
          <w:sz w:val="24"/>
          <w:szCs w:val="24"/>
        </w:rPr>
        <w:t xml:space="preserve">Securities </w:t>
      </w:r>
      <w:r>
        <w:rPr>
          <w:rFonts w:hint="eastAsia" w:ascii="Times New Roman" w:hAnsi="Times New Roman" w:cs="Times New Roman"/>
        </w:rPr>
        <w:t xml:space="preserve">Market </w:t>
      </w:r>
      <w:r>
        <w:rPr>
          <w:rFonts w:ascii="Times New Roman" w:hAnsi="Times New Roman" w:cs="Times New Roman"/>
        </w:rPr>
        <w:t>Datafeed</w:t>
      </w:r>
      <w:r>
        <w:rPr>
          <w:rFonts w:hint="eastAsia" w:ascii="Times New Roman" w:hAnsi="Times New Roman" w:cs="Times New Roman"/>
        </w:rPr>
        <w:t xml:space="preserve"> (L2 datafeed)</w:t>
      </w:r>
    </w:p>
    <w:p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23713776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Times New Roman" w:hAnsi="Times New Roman" w:eastAsia="MS Mincho" w:cs="Times New Roman"/>
            </w:rPr>
            <w:object>
              <v:shape id="_x0000_i1027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0" w:name="CheckBox113" w:shapeid="_x0000_i1027"/>
            </w:object>
          </w:r>
        </w:sdtContent>
      </w:sdt>
      <w:r>
        <w:rPr>
          <w:rFonts w:hint="eastAsia" w:ascii="Times New Roman" w:hAnsi="Times New Roman" w:cs="Times New Roman"/>
        </w:rPr>
        <w:t>Stock Options Market Datafeed (Options datafeed)</w:t>
      </w:r>
    </w:p>
    <w:p>
      <w:pPr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 xml:space="preserve">Source of Data </w:t>
      </w:r>
    </w:p>
    <w:p>
      <w:pPr>
        <w:rPr>
          <w:rFonts w:ascii="Times New Roman" w:hAnsi="Times New Roman" w:cs="Times New Roman"/>
        </w:rPr>
      </w:pPr>
      <w:sdt>
        <w:sdtPr>
          <w:rPr>
            <w:sz w:val="20"/>
            <w:szCs w:val="20"/>
          </w:rPr>
          <w:id w:val="20183444"/>
        </w:sdtPr>
        <w:sdtEndPr>
          <w:rPr>
            <w:sz w:val="20"/>
            <w:szCs w:val="20"/>
          </w:rPr>
        </w:sdtEndPr>
        <w:sdtContent>
          <w:r>
            <w:rPr>
              <w:rFonts w:ascii="MS Mincho" w:hAnsi="MS Mincho" w:eastAsia="MS Mincho" w:cs="MS Mincho"/>
              <w:sz w:val="20"/>
              <w:szCs w:val="20"/>
            </w:rPr>
            <w:object>
              <v:shape id="_x0000_i1028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1" w:name="CheckBox1" w:shapeid="_x0000_i1028"/>
            </w:object>
          </w:r>
        </w:sdtContent>
      </w:sdt>
      <w:r>
        <w:rPr>
          <w:rFonts w:hint="eastAsia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</w:rPr>
        <w:t>Direct connection via   Shenzhen Stock Exchange (SZSE)</w:t>
      </w:r>
    </w:p>
    <w:p>
      <w:pPr>
        <w:rPr>
          <w:rFonts w:ascii="Times New Roman" w:hAnsi="Times New Roman" w:cs="Times New Roman"/>
          <w:color w:val="7F7F7F" w:themeColor="background1" w:themeShade="80"/>
          <w:u w:val="single"/>
        </w:rPr>
      </w:pPr>
      <w:sdt>
        <w:sdtPr>
          <w:rPr>
            <w:sz w:val="20"/>
            <w:szCs w:val="20"/>
          </w:rPr>
          <w:id w:val="25919286"/>
        </w:sdtPr>
        <w:sdtEndPr>
          <w:rPr>
            <w:sz w:val="20"/>
            <w:szCs w:val="20"/>
          </w:rPr>
        </w:sdtEndPr>
        <w:sdtContent>
          <w:r>
            <w:rPr>
              <w:rFonts w:ascii="MS Mincho" w:hAnsi="MS Mincho" w:eastAsia="MS Mincho" w:cs="MS Mincho"/>
              <w:sz w:val="20"/>
              <w:szCs w:val="20"/>
            </w:rPr>
            <w:object>
              <v:shape id="_x0000_i1029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2" w:name="CheckBox11" w:shapeid="_x0000_i1029"/>
            </w:object>
          </w:r>
        </w:sdtContent>
      </w:sdt>
      <w:r>
        <w:rPr>
          <w:rFonts w:hint="eastAsia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</w:rPr>
        <w:t xml:space="preserve">Indirect connection via  (1)  </w:t>
      </w:r>
      <w:r>
        <w:rPr>
          <w:rFonts w:hint="eastAsia" w:ascii="Times New Roman" w:hAnsi="Times New Roman" w:cs="Times New Roman"/>
          <w:color w:val="7F7F7F" w:themeColor="background1" w:themeShade="80"/>
        </w:rPr>
        <w:t>(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 xml:space="preserve">please enter the vendor name); </w:t>
      </w:r>
      <w:r>
        <w:rPr>
          <w:rFonts w:hint="eastAsia" w:ascii="Times New Roman" w:hAnsi="Times New Roman" w:cs="Times New Roman"/>
        </w:rPr>
        <w:t xml:space="preserve"> (2)  </w:t>
      </w:r>
      <w:r>
        <w:rPr>
          <w:rFonts w:hint="eastAsia" w:ascii="Times New Roman" w:hAnsi="Times New Roman" w:cs="Times New Roman"/>
          <w:color w:val="7F7F7F" w:themeColor="background1" w:themeShade="80"/>
        </w:rPr>
        <w:t>(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>please enter the vendor name)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7F7F7F" w:themeColor="background1" w:themeShade="80"/>
        </w:rPr>
        <w:t xml:space="preserve">                     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(3)  </w:t>
      </w:r>
      <w:r>
        <w:rPr>
          <w:rFonts w:hint="eastAsia" w:ascii="Times New Roman" w:hAnsi="Times New Roman" w:cs="Times New Roman"/>
          <w:color w:val="7F7F7F" w:themeColor="background1" w:themeShade="80"/>
        </w:rPr>
        <w:t>(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>please enter the vendor name)</w:t>
      </w:r>
    </w:p>
    <w:p>
      <w:pPr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Data Usage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 xml:space="preserve">A. </w:t>
      </w:r>
      <w:sdt>
        <w:sdtPr>
          <w:rPr>
            <w:sz w:val="20"/>
            <w:szCs w:val="20"/>
          </w:rPr>
          <w:id w:val="23458887"/>
        </w:sdtPr>
        <w:sdtEndPr>
          <w:rPr>
            <w:sz w:val="20"/>
            <w:szCs w:val="20"/>
          </w:rPr>
        </w:sdtEndPr>
        <w:sdtContent>
          <w:r>
            <w:rPr>
              <w:rFonts w:ascii="MS Mincho" w:hAnsi="MS Mincho" w:eastAsia="MS Mincho" w:cs="MS Mincho"/>
              <w:sz w:val="20"/>
              <w:szCs w:val="20"/>
            </w:rPr>
            <w:object>
              <v:shape id="_x0000_i1030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3" w:name="CheckBox12" w:shapeid="_x0000_i1030"/>
            </w:object>
          </w:r>
        </w:sdtContent>
      </w:sdt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</w:rPr>
        <w:t>External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</w:rPr>
        <w:t>Redistribution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>(Shall be subject to vendor</w:t>
      </w:r>
      <w:r>
        <w:rPr>
          <w:rFonts w:ascii="Times New Roman" w:hAnsi="Times New Roman" w:cs="Times New Roman"/>
          <w:color w:val="7F7F7F" w:themeColor="background1" w:themeShade="80"/>
          <w:u w:val="single"/>
        </w:rPr>
        <w:t xml:space="preserve"> distribution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 xml:space="preserve"> license.)</w:t>
      </w:r>
    </w:p>
    <w:p>
      <w:pPr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 xml:space="preserve">B. </w:t>
      </w:r>
      <w:sdt>
        <w:sdtPr>
          <w:rPr>
            <w:sz w:val="20"/>
            <w:szCs w:val="20"/>
          </w:rPr>
          <w:id w:val="9685338"/>
        </w:sdtPr>
        <w:sdtEndPr>
          <w:rPr>
            <w:sz w:val="20"/>
            <w:szCs w:val="20"/>
          </w:rPr>
        </w:sdtEndPr>
        <w:sdtContent>
          <w:r>
            <w:rPr>
              <w:rFonts w:ascii="MS Mincho" w:hAnsi="MS Mincho" w:eastAsia="MS Mincho" w:cs="MS Mincho"/>
              <w:sz w:val="20"/>
              <w:szCs w:val="20"/>
            </w:rPr>
            <w:object>
              <v:shape id="_x0000_i1031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4" w:name="CheckBox13" w:shapeid="_x0000_i1031"/>
            </w:object>
          </w:r>
        </w:sdtContent>
      </w:sdt>
      <w:r>
        <w:rPr>
          <w:rFonts w:hint="eastAsia" w:ascii="Times New Roman" w:hAnsi="Times New Roman" w:cs="Times New Roman"/>
          <w:b/>
        </w:rPr>
        <w:t xml:space="preserve"> Internal Usage without any external redistribution</w:t>
      </w:r>
    </w:p>
    <w:p>
      <w:pPr>
        <w:pStyle w:val="10"/>
        <w:numPr>
          <w:ilvl w:val="0"/>
          <w:numId w:val="2"/>
        </w:numPr>
        <w:ind w:left="709" w:hanging="309" w:firstLineChars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89366"/>
        </w:sdtPr>
        <w:sdtEndPr>
          <w:rPr>
            <w:rFonts w:ascii="Times New Roman" w:hAnsi="Times New Roman" w:cs="Times New Roman"/>
          </w:rPr>
        </w:sdtEndPr>
        <w:sdtContent>
          <w:r>
            <w:rPr>
              <w:rFonts w:ascii="MS Mincho" w:hAnsi="MS Mincho" w:eastAsia="MS Mincho" w:cs="MS Mincho"/>
              <w:sz w:val="20"/>
              <w:szCs w:val="20"/>
            </w:rPr>
            <w:object>
              <v:shape id="_x0000_i1032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16" o:title=""/>
                <o:lock v:ext="edit" aspectratio="t"/>
                <w10:wrap type="none"/>
                <w10:anchorlock/>
              </v:shape>
              <w:control r:id="rId15" w:name="CheckBox14" w:shapeid="_x0000_i1032"/>
            </w:object>
          </w:r>
        </w:sdtContent>
      </w:sdt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</w:rPr>
        <w:t>Internal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Display Usage</w:t>
      </w:r>
    </w:p>
    <w:p>
      <w:pPr>
        <w:pStyle w:val="10"/>
        <w:numPr>
          <w:ilvl w:val="0"/>
          <w:numId w:val="3"/>
        </w:numPr>
        <w:ind w:firstLineChars="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Monthly Subscriber Fee paid via each Vendor per data source as per SSIC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s unit of count</w:t>
      </w:r>
    </w:p>
    <w:p>
      <w:pPr>
        <w:pStyle w:val="10"/>
        <w:numPr>
          <w:ilvl w:val="0"/>
          <w:numId w:val="3"/>
        </w:numPr>
        <w:ind w:firstLineChars="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ternal Display License Fee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7F7F7F" w:themeColor="background1" w:themeShade="80"/>
          <w:u w:val="single"/>
        </w:rPr>
        <w:t>(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 xml:space="preserve">waived if the NDU section is declared or for Subscribers of Options datafeed </w:t>
      </w:r>
      <w:r>
        <w:rPr>
          <w:rFonts w:ascii="Times New Roman" w:hAnsi="Times New Roman" w:cs="Times New Roman"/>
          <w:color w:val="7F7F7F" w:themeColor="background1" w:themeShade="80"/>
          <w:u w:val="single"/>
        </w:rPr>
        <w:t>)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: </w:t>
      </w:r>
    </w:p>
    <w:p>
      <w:pPr>
        <w:ind w:firstLine="1078" w:firstLineChars="49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sdt>
        <w:sdtPr>
          <w:id w:val="32269292"/>
        </w:sdtPr>
        <w:sdtContent>
          <w:r>
            <w:rPr>
              <w:rFonts w:ascii="MS Mincho" w:hAnsi="MS Mincho" w:eastAsia="MS Mincho" w:cs="MS Mincho"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object>
              <v:shape id="_x0000_i1033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7" w:name="CheckBox15" w:shapeid="_x0000_i1033"/>
            </w:object>
          </w:r>
        </w:sdtContent>
      </w:sdt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US$2,000 p.a.  (covering datafeeds from no more than 2 vendors);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PLUS</w:t>
      </w:r>
    </w:p>
    <w:p>
      <w:pPr>
        <w:ind w:firstLine="1078" w:firstLineChars="49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sdt>
        <w:sdtPr>
          <w:id w:val="32269293"/>
        </w:sdtPr>
        <w:sdtContent>
          <w:r>
            <w:rPr>
              <w:rFonts w:ascii="MS Mincho" w:hAnsi="MS Mincho" w:eastAsia="MS Mincho" w:cs="MS Mincho"/>
              <w:color w:val="000000" w:themeColor="text1"/>
              <w:sz w:val="20"/>
              <w:szCs w:val="20"/>
              <w14:textFill>
                <w14:solidFill>
                  <w14:schemeClr w14:val="tx1"/>
                </w14:solidFill>
              </w14:textFill>
            </w:rPr>
            <w:object>
              <v:shape id="_x0000_i1034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8" w:name="CheckBox16" w:shapeid="_x0000_i1034"/>
            </w:object>
          </w:r>
        </w:sdtContent>
      </w:sdt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>US$2,000 p.a  (additional datafeed from other vendors)</w:t>
      </w:r>
    </w:p>
    <w:p>
      <w:pPr>
        <w:ind w:firstLine="1078" w:firstLineChars="490"/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2"/>
        </w:numPr>
        <w:ind w:left="709" w:hanging="309" w:firstLineChars="0"/>
        <w:rPr>
          <w:rFonts w:ascii="Times New Roman" w:hAnsi="Times New Roman" w:cs="Times New Roman"/>
          <w:color w:val="7F7F7F" w:themeColor="background1" w:themeShade="80"/>
          <w:u w:val="single"/>
        </w:rPr>
      </w:pPr>
      <w:sdt>
        <w:sdtPr>
          <w:rPr>
            <w:sz w:val="20"/>
            <w:szCs w:val="20"/>
          </w:rPr>
          <w:id w:val="27488547"/>
        </w:sdtPr>
        <w:sdtEndPr>
          <w:rPr>
            <w:sz w:val="20"/>
            <w:szCs w:val="20"/>
          </w:rPr>
        </w:sdtEndPr>
        <w:sdtContent>
          <w:r>
            <w:rPr>
              <w:rFonts w:ascii="MS Mincho" w:hAnsi="MS Mincho" w:eastAsia="MS Mincho" w:cs="MS Mincho"/>
              <w:sz w:val="20"/>
              <w:szCs w:val="20"/>
            </w:rPr>
            <w:object>
              <v:shape id="_x0000_i1035" o:spt="201" alt="" type="#_x0000_t201" style="height:18pt;width:12.75pt;" o:ole="t" filled="f" o:preferrelative="t" stroked="f" coordsize="21600,21600">
                <v:path/>
                <v:fill on="f" focussize="0,0"/>
                <v:stroke on="f"/>
                <v:imagedata r:id="rId8" o:title=""/>
                <o:lock v:ext="edit" aspectratio="t"/>
                <w10:wrap type="none"/>
                <w10:anchorlock/>
              </v:shape>
              <w:control r:id="rId19" w:name="CheckBox17" w:shapeid="_x0000_i1035"/>
            </w:object>
          </w:r>
        </w:sdtContent>
      </w:sdt>
      <w:r>
        <w:rPr>
          <w:rFonts w:hint="eastAsia" w:ascii="Times New Roman" w:hAnsi="Times New Roman" w:cs="Times New Roman"/>
          <w:b/>
        </w:rPr>
        <w:t xml:space="preserve"> Non-Display Usage (</w:t>
      </w:r>
      <w:r>
        <w:rPr>
          <w:rFonts w:hint="eastAsia" w:ascii="Times New Roman" w:hAnsi="Times New Roman" w:cs="Times New Roman"/>
          <w:color w:val="7F7F7F" w:themeColor="background1" w:themeShade="80"/>
          <w:u w:val="single"/>
        </w:rPr>
        <w:t>Details of NDU definition and fees please refer to the last two pages.)</w:t>
      </w:r>
      <w:r>
        <w:rPr>
          <w:rFonts w:hint="eastAsia" w:ascii="Times New Roman" w:hAnsi="Times New Roman" w:cs="Times New Roman"/>
          <w:color w:val="7F7F7F" w:themeColor="background1" w:themeShade="80"/>
        </w:rPr>
        <w:t xml:space="preserve">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>For L1/L2 datafeed</w:t>
      </w: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288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Category</w:t>
            </w:r>
          </w:p>
        </w:tc>
        <w:tc>
          <w:tcPr>
            <w:tcW w:w="22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Commencement Date</w:t>
            </w:r>
          </w:p>
        </w:tc>
        <w:tc>
          <w:tcPr>
            <w:tcW w:w="283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Comment</w:t>
            </w:r>
            <w:r>
              <w:rPr>
                <w:rFonts w:hint="eastAsia" w:ascii="Times New Roman" w:hAnsi="Times New Roman" w:cs="Times New Roma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i/>
              </w:rPr>
              <w:t>(please provide details of the non-display usage)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-623693316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36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8" o:title=""/>
                      <o:lock v:ext="edit" aspectratio="t"/>
                      <w10:wrap type="none"/>
                      <w10:anchorlock/>
                    </v:shape>
                    <w:control r:id="rId20" w:name="CheckBox18" w:shapeid="_x0000_i1036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C1: Algorithm Trading</w:t>
            </w:r>
          </w:p>
        </w:tc>
        <w:tc>
          <w:tcPr>
            <w:tcW w:w="228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20183441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37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8" o:title=""/>
                      <o:lock v:ext="edit" aspectratio="t"/>
                      <w10:wrap type="none"/>
                      <w10:anchorlock/>
                    </v:shape>
                    <w:control r:id="rId21" w:name="CheckBox19" w:shapeid="_x0000_i1037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C2: Derived Data with Tradable Product</w:t>
            </w:r>
          </w:p>
        </w:tc>
        <w:tc>
          <w:tcPr>
            <w:tcW w:w="228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20183442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38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8" o:title=""/>
                      <o:lock v:ext="edit" aspectratio="t"/>
                      <w10:wrap type="none"/>
                      <w10:anchorlock/>
                    </v:shape>
                    <w:control r:id="rId22" w:name="CheckBox4" w:shapeid="_x0000_i1038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C3: Other Non-</w:t>
            </w:r>
            <w:r>
              <w:rPr>
                <w:rFonts w:ascii="Times New Roman" w:hAnsi="Times New Roman" w:cs="Times New Roman"/>
              </w:rPr>
              <w:t>Display</w:t>
            </w:r>
            <w:r>
              <w:rPr>
                <w:rFonts w:hint="eastAsia" w:ascii="Times New Roman" w:hAnsi="Times New Roman" w:cs="Times New Roman"/>
              </w:rPr>
              <w:t xml:space="preserve"> Usage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680034308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39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8" o:title=""/>
                      <o:lock v:ext="edit" aspectratio="t"/>
                      <w10:wrap type="none"/>
                      <w10:anchorlock/>
                    </v:shape>
                    <w:control r:id="rId23" w:name="CheckBox5" w:shapeid="_x0000_i1039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per group </w:t>
            </w:r>
            <w:r>
              <w:rPr>
                <w:rFonts w:hint="eastAsia" w:ascii="Times New Roman" w:hAnsi="Times New Roman" w:cs="Times New Roman"/>
              </w:rPr>
              <w:t xml:space="preserve">  or   </w:t>
            </w:r>
            <w:sdt>
              <w:sdtPr>
                <w:rPr>
                  <w:sz w:val="20"/>
                  <w:szCs w:val="20"/>
                </w:rPr>
                <w:id w:val="2068065822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object>
                    <v:shape id="_x0000_i1040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8" o:title=""/>
                      <o:lock v:ext="edit" aspectratio="t"/>
                      <w10:wrap type="none"/>
                      <w10:anchorlock/>
                    </v:shape>
                    <w:control r:id="rId24" w:name="CheckBox6" w:shapeid="_x0000_i1040"/>
                  </w:object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per </w:t>
            </w:r>
            <w:r>
              <w:rPr>
                <w:rFonts w:hint="eastAsia" w:ascii="Times New Roman" w:hAnsi="Times New Roman" w:cs="Times New Roman"/>
              </w:rPr>
              <w:t>company</w:t>
            </w:r>
          </w:p>
        </w:tc>
        <w:tc>
          <w:tcPr>
            <w:tcW w:w="228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8" w:type="dxa"/>
          </w:tcPr>
          <w:p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>
      <w:pPr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u w:val="single"/>
        </w:rPr>
        <w:t>For Options datafeed</w:t>
      </w: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2268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Category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Commencement Date</w:t>
            </w:r>
          </w:p>
        </w:tc>
        <w:tc>
          <w:tcPr>
            <w:tcW w:w="285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Comment</w:t>
            </w:r>
            <w:r>
              <w:rPr>
                <w:rFonts w:hint="eastAsia" w:ascii="Times New Roman" w:hAnsi="Times New Roman" w:cs="Times New Roman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i/>
              </w:rPr>
              <w:t>(please provide details of the non-display usage)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1038627439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begin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instrText xml:space="preserve"> CONTROL Forms.CheckBox.1 </w:instrText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drawing>
                    <wp:inline distT="0" distB="0" distL="114300" distR="114300">
                      <wp:extent cx="161925" cy="228600"/>
                      <wp:effectExtent l="0" t="0" r="3175" b="0"/>
                      <wp:docPr id="3" name="图片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C1: Algorithm Trading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487979146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begin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instrText xml:space="preserve"> CONTROL Forms.CheckBox.1 </w:instrText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drawing>
                    <wp:inline distT="0" distB="0" distL="114300" distR="114300">
                      <wp:extent cx="161925" cy="228600"/>
                      <wp:effectExtent l="0" t="0" r="3175" b="0"/>
                      <wp:docPr id="4" name="图片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图片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C2: Derived Data with Tradable Product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03" w:type="dxa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sz w:val="20"/>
                  <w:szCs w:val="20"/>
                </w:rPr>
                <w:id w:val="672070873"/>
              </w:sdtPr>
              <w:sdtEndPr>
                <w:rPr>
                  <w:sz w:val="20"/>
                  <w:szCs w:val="20"/>
                </w:rPr>
              </w:sdtEndPr>
              <w:sdtContent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begin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instrText xml:space="preserve"> CONTROL Forms.CheckBox.1 </w:instrText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separate"/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drawing>
                    <wp:inline distT="0" distB="0" distL="114300" distR="114300">
                      <wp:extent cx="161925" cy="228600"/>
                      <wp:effectExtent l="0" t="0" r="3175" b="0"/>
                      <wp:docPr id="5" name="图片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图片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S Mincho" w:hAnsi="MS Mincho" w:eastAsia="MS Mincho" w:cs="MS Mincho"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hint="eastAsia" w:ascii="Times New Roman" w:hAnsi="Times New Roman" w:cs="Times New Roman"/>
              </w:rPr>
              <w:t xml:space="preserve"> C3: Other Non-</w:t>
            </w:r>
            <w:r>
              <w:rPr>
                <w:rFonts w:ascii="Times New Roman" w:hAnsi="Times New Roman" w:cs="Times New Roman"/>
              </w:rPr>
              <w:t>Display</w:t>
            </w:r>
            <w:r>
              <w:rPr>
                <w:rFonts w:hint="eastAsia" w:ascii="Times New Roman" w:hAnsi="Times New Roman" w:cs="Times New Roman"/>
              </w:rPr>
              <w:t xml:space="preserve"> Usage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 xml:space="preserve">Contact Information 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685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Business Primary Contact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Business Secondary Contact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Name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Title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Department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Phone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Email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Address</w:t>
            </w:r>
          </w:p>
        </w:tc>
        <w:tc>
          <w:tcPr>
            <w:tcW w:w="368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Billing Contact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Name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Title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Department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Phone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Email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Address</w:t>
            </w:r>
          </w:p>
        </w:tc>
        <w:tc>
          <w:tcPr>
            <w:tcW w:w="7938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Notes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3B(i) </w:t>
      </w:r>
      <w:r>
        <w:rPr>
          <w:rFonts w:hint="eastAsia" w:ascii="Times New Roman" w:hAnsi="Times New Roman" w:cs="Times New Roman"/>
        </w:rPr>
        <w:t xml:space="preserve">Internal </w:t>
      </w:r>
      <w:r>
        <w:rPr>
          <w:rFonts w:ascii="Times New Roman" w:hAnsi="Times New Roman" w:cs="Times New Roman"/>
        </w:rPr>
        <w:t>Display Usage is by default chosen unless Datafeed Subscribers is able to provide a reasonable proof that the Datafeed is only used for sole NDU applications without any downstream users.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If the above section </w:t>
      </w:r>
      <w:r>
        <w:rPr>
          <w:rFonts w:hint="eastAsia" w:ascii="Times New Roman" w:hAnsi="Times New Roman" w:cs="Times New Roman"/>
          <w:u w:val="single"/>
        </w:rPr>
        <w:t>3B(ii) Non-Display Usage for L1/L2 datafeed</w:t>
      </w:r>
      <w:r>
        <w:rPr>
          <w:rFonts w:hint="eastAsia" w:ascii="Times New Roman" w:hAnsi="Times New Roman" w:cs="Times New Roman"/>
        </w:rPr>
        <w:t xml:space="preserve"> is </w:t>
      </w:r>
      <w:r>
        <w:rPr>
          <w:rFonts w:hint="eastAsia" w:ascii="Times New Roman" w:hAnsi="Times New Roman" w:cs="Times New Roman"/>
          <w:b/>
        </w:rPr>
        <w:t>NOT</w:t>
      </w:r>
      <w:r>
        <w:rPr>
          <w:rFonts w:hint="eastAsia" w:ascii="Times New Roman" w:hAnsi="Times New Roman" w:cs="Times New Roman"/>
        </w:rPr>
        <w:t xml:space="preserve"> declared, SSIC shall charge an </w:t>
      </w:r>
      <w:r>
        <w:rPr>
          <w:rFonts w:hint="eastAsia" w:ascii="Times New Roman" w:hAnsi="Times New Roman" w:cs="Times New Roman"/>
          <w:b/>
        </w:rPr>
        <w:t>Internal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b/>
        </w:rPr>
        <w:t>Display License Fee</w:t>
      </w:r>
      <w:r>
        <w:rPr>
          <w:rFonts w:ascii="Times New Roman" w:hAnsi="Times New Roman" w:cs="Times New Roman"/>
        </w:rPr>
        <w:t xml:space="preserve"> on </w:t>
      </w:r>
      <w:r>
        <w:rPr>
          <w:rFonts w:hint="eastAsia" w:ascii="Times New Roman" w:hAnsi="Times New Roman" w:cs="Times New Roman"/>
        </w:rPr>
        <w:t xml:space="preserve">each company </w:t>
      </w:r>
      <w:r>
        <w:rPr>
          <w:rFonts w:ascii="Times New Roman" w:hAnsi="Times New Roman" w:cs="Times New Roman"/>
        </w:rPr>
        <w:t>of Datafeed Subscriber who will be accessing the data</w:t>
      </w:r>
      <w:r>
        <w:rPr>
          <w:rFonts w:hint="eastAsia" w:ascii="Times New Roman" w:hAnsi="Times New Roman" w:cs="Times New Roman"/>
        </w:rPr>
        <w:t xml:space="preserve">. Please list all the entities 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in the list of Related Companies. </w:t>
      </w:r>
    </w:p>
    <w:p>
      <w:pPr>
        <w:pStyle w:val="10"/>
        <w:numPr>
          <w:ilvl w:val="0"/>
          <w:numId w:val="4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This form is an order form for datafeed usage license. Furthermore, a </w:t>
      </w:r>
      <w:r>
        <w:rPr>
          <w:rFonts w:hint="eastAsia" w:ascii="Times New Roman" w:hAnsi="Times New Roman" w:cs="Times New Roman"/>
          <w:i/>
          <w:i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Datafeed Usage </w:t>
      </w:r>
      <w:bookmarkStart w:id="0" w:name="_GoBack"/>
      <w:bookmarkEnd w:id="0"/>
      <w:r>
        <w:rPr>
          <w:rFonts w:hint="eastAsia" w:ascii="Times New Roman" w:hAnsi="Times New Roman" w:cs="Times New Roman"/>
          <w:i/>
          <w:i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License Agreement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is required to be set up. 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List of Related Companies(to be covered by the Datafeed Usage License)</w:t>
      </w:r>
    </w:p>
    <w:tbl>
      <w:tblPr>
        <w:tblStyle w:val="6"/>
        <w:tblW w:w="9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369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Related Company Name</w:t>
            </w: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with the Licensee (with percentage stake)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0"/>
        <w:numPr>
          <w:ilvl w:val="255"/>
          <w:numId w:val="0"/>
        </w:numPr>
        <w:spacing w:line="360" w:lineRule="auto"/>
        <w:rPr>
          <w:rFonts w:ascii="Times New Roman" w:hAnsi="Times New Roman" w:cs="Times New Roman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>Location of the Subscriber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>
        <w:rPr>
          <w:rFonts w:hint="eastAsia" w:ascii="Times New Roman" w:hAnsi="Times New Roman" w:cs="Times New Roman"/>
          <w:b/>
          <w:sz w:val="24"/>
          <w:szCs w:val="24"/>
          <w:u w:val="single"/>
        </w:rPr>
        <w:t xml:space="preserve">s Data Center (if applicable) </w:t>
      </w:r>
    </w:p>
    <w:tbl>
      <w:tblPr>
        <w:tblStyle w:val="7"/>
        <w:tblW w:w="955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3610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</w:rPr>
              <w:t>Company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Name</w:t>
            </w:r>
          </w:p>
        </w:tc>
        <w:tc>
          <w:tcPr>
            <w:tcW w:w="3610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Location </w:t>
            </w:r>
          </w:p>
        </w:tc>
        <w:tc>
          <w:tcPr>
            <w:tcW w:w="2083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Location number(if available)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10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GB"/>
        </w:rPr>
        <w:t xml:space="preserve">Submitted for and on behalf of the </w:t>
      </w:r>
      <w:r>
        <w:rPr>
          <w:rFonts w:hint="eastAsia" w:ascii="Times New Roman" w:hAnsi="Times New Roman" w:cs="Times New Roman"/>
          <w:i/>
          <w:iCs/>
          <w:sz w:val="24"/>
          <w:szCs w:val="24"/>
          <w:u w:val="single"/>
          <w:lang w:val="en-GB"/>
        </w:rPr>
        <w:t>Datafeed Subscriber</w:t>
      </w:r>
    </w:p>
    <w:p>
      <w:pPr>
        <w:pStyle w:val="2"/>
        <w:ind w:firstLine="0" w:firstLineChars="0"/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</w:pP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GB"/>
        </w:rPr>
        <w:t>Name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:                               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Title: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                    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Date: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                     </w:t>
      </w:r>
    </w:p>
    <w:p>
      <w:pPr>
        <w:adjustRightInd/>
        <w:snapToGrid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pStyle w:val="10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DEFINITION OF NDU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</w:t>
      </w: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isplay </w:t>
      </w:r>
      <w:r>
        <w:rPr>
          <w:rFonts w:hint="eastAsia" w:ascii="Times New Roman" w:hAnsi="Times New Roman" w:cs="Times New Roman"/>
          <w:sz w:val="24"/>
          <w:szCs w:val="24"/>
        </w:rPr>
        <w:t>Usage is accessing, processing, or consumption of the SZSE Real-time Market Data for a purpose other than in support of its display or distribution. Any application that accesses the SZSE Real-time Market Data for non-display usage in the following categories is liable for non-display usage fee (NDU fee):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C1:  Algorithm Trading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Any usage of the SZSE Real-time Market Data in electronic trading-based applications to monitor trading activity including but not limited to </w:t>
      </w:r>
      <w:r>
        <w:rPr>
          <w:rFonts w:ascii="Times New Roman" w:hAnsi="Times New Roman" w:cs="Times New Roman"/>
          <w:sz w:val="24"/>
          <w:szCs w:val="24"/>
        </w:rPr>
        <w:t>algorithmic trading</w:t>
      </w:r>
      <w:r>
        <w:rPr>
          <w:rFonts w:hint="eastAsia" w:ascii="Times New Roman" w:hAnsi="Times New Roman" w:cs="Times New Roman"/>
          <w:sz w:val="24"/>
          <w:szCs w:val="24"/>
        </w:rPr>
        <w:t>/black box trading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automated or semi-automated </w:t>
      </w:r>
      <w:r>
        <w:rPr>
          <w:rFonts w:hint="eastAsia" w:ascii="Times New Roman" w:hAnsi="Times New Roman" w:cs="Times New Roman"/>
          <w:sz w:val="24"/>
          <w:szCs w:val="24"/>
        </w:rPr>
        <w:t xml:space="preserve">order/quote generation, execution algorithms, hedging applications, market-making applications, order pegging, program trading, price referencing, smart order routing &amp; any other </w:t>
      </w:r>
      <w:r>
        <w:rPr>
          <w:rFonts w:ascii="Times New Roman" w:hAnsi="Times New Roman" w:cs="Times New Roman"/>
          <w:sz w:val="24"/>
          <w:szCs w:val="24"/>
        </w:rPr>
        <w:t>trading</w:t>
      </w:r>
      <w:r>
        <w:rPr>
          <w:rFonts w:hint="eastAsia" w:ascii="Times New Roman" w:hAnsi="Times New Roman" w:cs="Times New Roman"/>
          <w:sz w:val="24"/>
          <w:szCs w:val="24"/>
        </w:rPr>
        <w:t xml:space="preserve"> based activities.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C2: Derived Data with Tradable Product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work created using the </w:t>
      </w:r>
      <w:r>
        <w:rPr>
          <w:rFonts w:hint="eastAsia" w:ascii="Times New Roman" w:hAnsi="Times New Roman" w:cs="Times New Roman"/>
          <w:sz w:val="24"/>
          <w:szCs w:val="24"/>
        </w:rPr>
        <w:t xml:space="preserve">SZSE Real-time Market Data </w:t>
      </w:r>
      <w:r>
        <w:rPr>
          <w:rFonts w:ascii="Times New Roman" w:hAnsi="Times New Roman" w:cs="Times New Roman"/>
          <w:sz w:val="24"/>
          <w:szCs w:val="24"/>
        </w:rPr>
        <w:t xml:space="preserve">to partly or wholly derive the price of a tradable product or value of the underlying instrument of a tradable product, such as instrument pricing, creation of investable instruments: spread betting etc. Please note that this does not include Index Creation. For Index Creation usage, please </w:t>
      </w:r>
      <w:r>
        <w:rPr>
          <w:rFonts w:hint="eastAsia" w:ascii="Times New Roman" w:hAnsi="Times New Roman" w:cs="Times New Roman"/>
          <w:sz w:val="24"/>
          <w:szCs w:val="24"/>
        </w:rPr>
        <w:t xml:space="preserve">contact SSIC index team via website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http://www.cnindex.com.cn/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C3: Other Non-Display Usage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non-display usage of the </w:t>
      </w:r>
      <w:r>
        <w:rPr>
          <w:rFonts w:hint="eastAsia" w:ascii="Times New Roman" w:hAnsi="Times New Roman" w:cs="Times New Roman"/>
          <w:sz w:val="24"/>
          <w:szCs w:val="24"/>
        </w:rPr>
        <w:t>SZSE</w:t>
      </w:r>
      <w:r>
        <w:rPr>
          <w:rFonts w:ascii="Times New Roman" w:hAnsi="Times New Roman" w:cs="Times New Roman"/>
          <w:sz w:val="24"/>
          <w:szCs w:val="24"/>
        </w:rPr>
        <w:t xml:space="preserve"> Real-time Market </w:t>
      </w:r>
      <w:r>
        <w:rPr>
          <w:rFonts w:hint="eastAsia" w:ascii="Times New Roman" w:hAnsi="Times New Roman" w:cs="Times New Roman"/>
          <w:sz w:val="24"/>
          <w:szCs w:val="24"/>
        </w:rPr>
        <w:t>Data in non-trading applications used in mid and/or back office activities to support business functions, including but not limited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risk management, portfolio 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>valuation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profit and loss analysis, quantitative analysis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>, surveillance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etc.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the avoidance of doubt, any datafeed </w:t>
      </w:r>
      <w:r>
        <w:rPr>
          <w:rFonts w:ascii="Times New Roman" w:hAnsi="Times New Roman" w:cs="Times New Roman"/>
          <w:sz w:val="24"/>
          <w:szCs w:val="24"/>
        </w:rPr>
        <w:t>non-display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usage of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>
        <w:rPr>
          <w:rFonts w:hint="eastAsia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SZSE</w:t>
      </w:r>
      <w:r>
        <w:rPr>
          <w:rFonts w:ascii="Times New Roman" w:hAnsi="Times New Roman" w:cs="Times New Roman"/>
          <w:sz w:val="24"/>
          <w:szCs w:val="24"/>
        </w:rPr>
        <w:t xml:space="preserve"> Real-time Market </w:t>
      </w:r>
      <w:r>
        <w:rPr>
          <w:rFonts w:hint="eastAsia" w:ascii="Times New Roman" w:hAnsi="Times New Roman" w:cs="Times New Roman"/>
          <w:sz w:val="24"/>
          <w:szCs w:val="24"/>
        </w:rPr>
        <w:t xml:space="preserve">Data other than </w:t>
      </w:r>
      <w:r>
        <w:rPr>
          <w:rFonts w:ascii="Times New Roman" w:hAnsi="Times New Roman" w:cs="Times New Roman"/>
          <w:sz w:val="24"/>
          <w:szCs w:val="24"/>
        </w:rPr>
        <w:t xml:space="preserve">C1, C2 </w:t>
      </w:r>
      <w:r>
        <w:rPr>
          <w:rFonts w:hint="eastAsia"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Index Creation</w:t>
      </w:r>
      <w:r>
        <w:rPr>
          <w:rFonts w:hint="eastAsia" w:ascii="Times New Roman" w:hAnsi="Times New Roman" w:cs="Times New Roman"/>
          <w:sz w:val="24"/>
          <w:szCs w:val="24"/>
        </w:rPr>
        <w:t xml:space="preserve"> should be regarded as C3.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10"/>
        <w:numPr>
          <w:ilvl w:val="0"/>
          <w:numId w:val="5"/>
        </w:numPr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FEE SCHEDULE</w:t>
      </w: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4120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Non-Display Usage Category</w:t>
            </w:r>
          </w:p>
        </w:tc>
        <w:tc>
          <w:tcPr>
            <w:tcW w:w="412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NDU Fee (per annum) for L1/L2 data</w:t>
            </w:r>
          </w:p>
        </w:tc>
        <w:tc>
          <w:tcPr>
            <w:tcW w:w="285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NDU Fee (per annum) for Options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41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US$45,000      per group level</w:t>
            </w: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US$18,000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per group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41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US$45,000      per group level</w:t>
            </w: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US$18,000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per group level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65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412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US$2,000       per </w:t>
            </w:r>
            <w:r>
              <w:rPr>
                <w:rFonts w:hint="eastAsia" w:ascii="Times New Roman" w:hAnsi="Times New Roman" w:cs="Times New Roman"/>
              </w:rPr>
              <w:t>company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level   or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US$10,000      per group level</w:t>
            </w:r>
          </w:p>
        </w:tc>
        <w:tc>
          <w:tcPr>
            <w:tcW w:w="2858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US$1,800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per group level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Note: 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For </w:t>
      </w:r>
      <w:r>
        <w:rPr>
          <w:rFonts w:hint="eastAsia" w:ascii="Times New Roman" w:hAnsi="Times New Roman" w:cs="Times New Roman"/>
          <w:i/>
        </w:rPr>
        <w:t>L1/L2 data,</w:t>
      </w:r>
      <w:r>
        <w:rPr>
          <w:rFonts w:ascii="Times New Roman" w:hAnsi="Times New Roman" w:cs="Times New Roman"/>
          <w:i/>
        </w:rPr>
        <w:t xml:space="preserve"> the NDU fee </w:t>
      </w:r>
      <w:r>
        <w:rPr>
          <w:rFonts w:hint="eastAsia" w:ascii="Times New Roman" w:hAnsi="Times New Roman" w:cs="Times New Roman"/>
          <w:i/>
        </w:rPr>
        <w:t xml:space="preserve">for </w:t>
      </w:r>
      <w:r>
        <w:rPr>
          <w:rFonts w:ascii="Times New Roman" w:hAnsi="Times New Roman" w:cs="Times New Roman"/>
          <w:i/>
        </w:rPr>
        <w:t>C1, C2</w:t>
      </w:r>
      <w:r>
        <w:rPr>
          <w:rFonts w:hint="eastAsia" w:ascii="Times New Roman" w:hAnsi="Times New Roman" w:cs="Times New Roman"/>
          <w:i/>
        </w:rPr>
        <w:t xml:space="preserve"> usage </w:t>
      </w:r>
      <w:r>
        <w:rPr>
          <w:rFonts w:ascii="Times New Roman" w:hAnsi="Times New Roman" w:cs="Times New Roman"/>
          <w:i/>
        </w:rPr>
        <w:t xml:space="preserve">is charged at per group level, while for C3 the NDU fee can be charged at either per group level or per </w:t>
      </w:r>
      <w:r>
        <w:rPr>
          <w:rFonts w:hint="eastAsia" w:ascii="Times New Roman" w:hAnsi="Times New Roman" w:cs="Times New Roman"/>
        </w:rPr>
        <w:t>company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level. Here “</w:t>
      </w:r>
      <w:r>
        <w:rPr>
          <w:rFonts w:hint="eastAsia" w:ascii="Times New Roman" w:hAnsi="Times New Roman" w:cs="Times New Roman"/>
        </w:rPr>
        <w:t>company</w:t>
      </w:r>
      <w:r>
        <w:rPr>
          <w:rFonts w:ascii="Times New Roman" w:hAnsi="Times New Roman" w:cs="Times New Roman"/>
          <w:i/>
        </w:rPr>
        <w:t xml:space="preserve">” means the Licensee as a legal entity </w:t>
      </w:r>
      <w:r>
        <w:rPr>
          <w:rFonts w:hint="eastAsia" w:ascii="Times New Roman" w:hAnsi="Times New Roman" w:cs="Times New Roman"/>
          <w:i/>
        </w:rPr>
        <w:t xml:space="preserve">with no subsidiaries </w:t>
      </w:r>
      <w:r>
        <w:rPr>
          <w:rFonts w:ascii="Times New Roman" w:hAnsi="Times New Roman" w:cs="Times New Roman"/>
          <w:i/>
          <w:sz w:val="24"/>
          <w:szCs w:val="24"/>
        </w:rPr>
        <w:t>underneath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and “group” means the Licensee as well as the Licensee’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</w:rPr>
        <w:t>Related Companies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</w:rPr>
        <w:t>as defined in the Datafeed Usage Agreement</w:t>
      </w:r>
      <w:r>
        <w:rPr>
          <w:rFonts w:ascii="Times New Roman" w:hAnsi="Times New Roman" w:cs="Times New Roman"/>
          <w:i/>
        </w:rPr>
        <w:t>.</w:t>
      </w:r>
    </w:p>
    <w:p>
      <w:pPr>
        <w:pStyle w:val="10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  <w:i/>
        </w:rPr>
      </w:pPr>
      <w:r>
        <w:rPr>
          <w:rFonts w:hint="eastAsia" w:ascii="Times New Roman" w:hAnsi="Times New Roman" w:cs="Times New Roman"/>
          <w:i/>
        </w:rPr>
        <w:t xml:space="preserve">For Options data, the NDU fee </w:t>
      </w:r>
      <w:r>
        <w:rPr>
          <w:rFonts w:ascii="Times New Roman" w:hAnsi="Times New Roman" w:cs="Times New Roman"/>
          <w:i/>
        </w:rPr>
        <w:t>is charged at per group level</w:t>
      </w:r>
      <w:r>
        <w:rPr>
          <w:rFonts w:hint="eastAsia" w:ascii="Times New Roman" w:hAnsi="Times New Roman" w:cs="Times New Roman"/>
          <w:i/>
        </w:rPr>
        <w:t xml:space="preserve">. </w:t>
      </w:r>
    </w:p>
    <w:sectPr>
      <w:headerReference r:id="rId4" w:type="default"/>
      <w:footerReference r:id="rId5" w:type="default"/>
      <w:pgSz w:w="11907" w:h="16160"/>
      <w:pgMar w:top="1134" w:right="1247" w:bottom="1701" w:left="124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156689"/>
    </w:sdtPr>
    <w:sdtContent>
      <w:sdt>
        <w:sdtPr>
          <w:id w:val="860082579"/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spacing w:line="220" w:lineRule="atLeast"/>
      <w:rPr>
        <w:rFonts w:ascii="微软雅黑" w:hAnsi="微软雅黑"/>
        <w:color w:val="5A5A5A"/>
        <w:sz w:val="14"/>
        <w:szCs w:val="14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-561340</wp:posOffset>
          </wp:positionV>
          <wp:extent cx="3204210" cy="1892300"/>
          <wp:effectExtent l="0" t="0" r="0" b="0"/>
          <wp:wrapNone/>
          <wp:docPr id="1" name="图片 17" descr="D:\管\第二季度\深证证券\Word\信纸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7" descr="D:\管\第二季度\深证证券\Word\信纸logo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7581" b="81596"/>
                  <a:stretch>
                    <a:fillRect/>
                  </a:stretch>
                </pic:blipFill>
                <pic:spPr>
                  <a:xfrm>
                    <a:off x="0" y="0"/>
                    <a:ext cx="3204210" cy="189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5"/>
      <w:jc w:val="left"/>
    </w:pPr>
  </w:p>
  <w:p>
    <w:pPr>
      <w:pStyle w:val="5"/>
      <w:jc w:val="left"/>
    </w:pPr>
  </w:p>
  <w:p>
    <w:pPr>
      <w:pStyle w:val="5"/>
      <w:jc w:val="right"/>
    </w:pPr>
    <w:r>
      <w:rPr>
        <w:rFonts w:hint="eastAsia"/>
      </w:rPr>
      <w:t xml:space="preserve">                                                                                                                                      </w:t>
    </w:r>
  </w:p>
  <w:p>
    <w:pPr>
      <w:pStyle w:val="5"/>
      <w:jc w:val="right"/>
    </w:pPr>
    <w:r>
      <w:rPr>
        <w:rFonts w:hint="eastAsia"/>
      </w:rPr>
      <w:t>March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B4974"/>
    <w:multiLevelType w:val="multilevel"/>
    <w:tmpl w:val="1EEB4974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663F49"/>
    <w:multiLevelType w:val="multilevel"/>
    <w:tmpl w:val="1F663F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DA6772"/>
    <w:multiLevelType w:val="multilevel"/>
    <w:tmpl w:val="3BDA6772"/>
    <w:lvl w:ilvl="0" w:tentative="0">
      <w:start w:val="1"/>
      <w:numFmt w:val="bullet"/>
      <w:lvlText w:val=""/>
      <w:lvlJc w:val="left"/>
      <w:pPr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abstractNum w:abstractNumId="3">
    <w:nsid w:val="447873EA"/>
    <w:multiLevelType w:val="multilevel"/>
    <w:tmpl w:val="447873EA"/>
    <w:lvl w:ilvl="0" w:tentative="0">
      <w:start w:val="1"/>
      <w:numFmt w:val="lowerRoman"/>
      <w:lvlText w:val="%1."/>
      <w:lvlJc w:val="left"/>
      <w:pPr>
        <w:ind w:left="1120" w:hanging="720"/>
      </w:pPr>
      <w:rPr>
        <w:rFonts w:hint="default" w:ascii="Tahoma" w:hAnsi="Tahoma" w:cstheme="minorBidi"/>
        <w:color w:val="auto"/>
        <w:sz w:val="20"/>
        <w:u w:val="none"/>
      </w:r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abstractNum w:abstractNumId="4">
    <w:nsid w:val="6A271F7D"/>
    <w:multiLevelType w:val="multilevel"/>
    <w:tmpl w:val="6A271F7D"/>
    <w:lvl w:ilvl="0" w:tentative="0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A65ADC"/>
    <w:multiLevelType w:val="multilevel"/>
    <w:tmpl w:val="77A65A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F7"/>
    <w:rsid w:val="00025E3B"/>
    <w:rsid w:val="00040EF1"/>
    <w:rsid w:val="000714AC"/>
    <w:rsid w:val="0008284E"/>
    <w:rsid w:val="00085863"/>
    <w:rsid w:val="000977C9"/>
    <w:rsid w:val="000A36DB"/>
    <w:rsid w:val="000B43BB"/>
    <w:rsid w:val="000E3F2E"/>
    <w:rsid w:val="000F5124"/>
    <w:rsid w:val="00107A1D"/>
    <w:rsid w:val="0012783D"/>
    <w:rsid w:val="0014342E"/>
    <w:rsid w:val="001A1B98"/>
    <w:rsid w:val="001A2027"/>
    <w:rsid w:val="001A5D4A"/>
    <w:rsid w:val="001B2D9C"/>
    <w:rsid w:val="001C48E7"/>
    <w:rsid w:val="001C60FB"/>
    <w:rsid w:val="001C7A2E"/>
    <w:rsid w:val="00217056"/>
    <w:rsid w:val="00226E51"/>
    <w:rsid w:val="00242C63"/>
    <w:rsid w:val="0024422B"/>
    <w:rsid w:val="00250577"/>
    <w:rsid w:val="00273BFE"/>
    <w:rsid w:val="00275CE0"/>
    <w:rsid w:val="00280481"/>
    <w:rsid w:val="00297177"/>
    <w:rsid w:val="002A057E"/>
    <w:rsid w:val="002B6663"/>
    <w:rsid w:val="002C49CE"/>
    <w:rsid w:val="002C5A74"/>
    <w:rsid w:val="002D220C"/>
    <w:rsid w:val="002E1B33"/>
    <w:rsid w:val="002F3AD8"/>
    <w:rsid w:val="0030790D"/>
    <w:rsid w:val="0031145D"/>
    <w:rsid w:val="003259C5"/>
    <w:rsid w:val="0033104B"/>
    <w:rsid w:val="00332EAA"/>
    <w:rsid w:val="003356B1"/>
    <w:rsid w:val="0034623B"/>
    <w:rsid w:val="00371D29"/>
    <w:rsid w:val="00374363"/>
    <w:rsid w:val="00390A05"/>
    <w:rsid w:val="003A6E96"/>
    <w:rsid w:val="003C1D6A"/>
    <w:rsid w:val="00407419"/>
    <w:rsid w:val="00411D29"/>
    <w:rsid w:val="00414AFF"/>
    <w:rsid w:val="004208DC"/>
    <w:rsid w:val="00422E45"/>
    <w:rsid w:val="00427354"/>
    <w:rsid w:val="00442E62"/>
    <w:rsid w:val="00455E33"/>
    <w:rsid w:val="0049529A"/>
    <w:rsid w:val="004B71F0"/>
    <w:rsid w:val="004F5D2B"/>
    <w:rsid w:val="00511CB3"/>
    <w:rsid w:val="0052082C"/>
    <w:rsid w:val="0052798D"/>
    <w:rsid w:val="00535826"/>
    <w:rsid w:val="0054010A"/>
    <w:rsid w:val="00543D6B"/>
    <w:rsid w:val="0054691E"/>
    <w:rsid w:val="00553427"/>
    <w:rsid w:val="00553DD4"/>
    <w:rsid w:val="0057135E"/>
    <w:rsid w:val="00577299"/>
    <w:rsid w:val="005802A5"/>
    <w:rsid w:val="00593431"/>
    <w:rsid w:val="00595249"/>
    <w:rsid w:val="005D1CCC"/>
    <w:rsid w:val="005F6989"/>
    <w:rsid w:val="006274D8"/>
    <w:rsid w:val="00637121"/>
    <w:rsid w:val="006538F5"/>
    <w:rsid w:val="00662AE5"/>
    <w:rsid w:val="00663875"/>
    <w:rsid w:val="006669F7"/>
    <w:rsid w:val="00677B43"/>
    <w:rsid w:val="00683CF7"/>
    <w:rsid w:val="00685B11"/>
    <w:rsid w:val="0069319B"/>
    <w:rsid w:val="006C3843"/>
    <w:rsid w:val="006F5E43"/>
    <w:rsid w:val="006F69CF"/>
    <w:rsid w:val="007147E0"/>
    <w:rsid w:val="00731860"/>
    <w:rsid w:val="00740DC1"/>
    <w:rsid w:val="00760229"/>
    <w:rsid w:val="00761C76"/>
    <w:rsid w:val="007665AF"/>
    <w:rsid w:val="0077784C"/>
    <w:rsid w:val="0078277C"/>
    <w:rsid w:val="007968F3"/>
    <w:rsid w:val="007B3685"/>
    <w:rsid w:val="007D138B"/>
    <w:rsid w:val="00806514"/>
    <w:rsid w:val="00813B49"/>
    <w:rsid w:val="00815C89"/>
    <w:rsid w:val="00831A04"/>
    <w:rsid w:val="00837465"/>
    <w:rsid w:val="00853AC2"/>
    <w:rsid w:val="00870661"/>
    <w:rsid w:val="00887F41"/>
    <w:rsid w:val="008923CE"/>
    <w:rsid w:val="00893FDB"/>
    <w:rsid w:val="008A207C"/>
    <w:rsid w:val="008E4D8E"/>
    <w:rsid w:val="008F0AD9"/>
    <w:rsid w:val="008F36FB"/>
    <w:rsid w:val="00916896"/>
    <w:rsid w:val="0093207E"/>
    <w:rsid w:val="0096222E"/>
    <w:rsid w:val="009749DD"/>
    <w:rsid w:val="009B114C"/>
    <w:rsid w:val="009B42D9"/>
    <w:rsid w:val="009B77FD"/>
    <w:rsid w:val="009F065D"/>
    <w:rsid w:val="00A2610A"/>
    <w:rsid w:val="00A44D13"/>
    <w:rsid w:val="00A50318"/>
    <w:rsid w:val="00A503D5"/>
    <w:rsid w:val="00A639B5"/>
    <w:rsid w:val="00A65889"/>
    <w:rsid w:val="00A8218F"/>
    <w:rsid w:val="00A90AAC"/>
    <w:rsid w:val="00AA606E"/>
    <w:rsid w:val="00AB2450"/>
    <w:rsid w:val="00AD10A8"/>
    <w:rsid w:val="00AF6EAE"/>
    <w:rsid w:val="00B122F8"/>
    <w:rsid w:val="00B20F33"/>
    <w:rsid w:val="00B42A36"/>
    <w:rsid w:val="00B4633A"/>
    <w:rsid w:val="00B670D0"/>
    <w:rsid w:val="00B83565"/>
    <w:rsid w:val="00BA4F8B"/>
    <w:rsid w:val="00BD31D8"/>
    <w:rsid w:val="00BD7833"/>
    <w:rsid w:val="00BE28C0"/>
    <w:rsid w:val="00C0311E"/>
    <w:rsid w:val="00C07010"/>
    <w:rsid w:val="00C125B1"/>
    <w:rsid w:val="00C37167"/>
    <w:rsid w:val="00C558E6"/>
    <w:rsid w:val="00C56417"/>
    <w:rsid w:val="00C57C9A"/>
    <w:rsid w:val="00C65EC8"/>
    <w:rsid w:val="00C762BB"/>
    <w:rsid w:val="00C8301E"/>
    <w:rsid w:val="00C92120"/>
    <w:rsid w:val="00C967AC"/>
    <w:rsid w:val="00CA54F7"/>
    <w:rsid w:val="00CC0DDA"/>
    <w:rsid w:val="00D4121C"/>
    <w:rsid w:val="00D47447"/>
    <w:rsid w:val="00D51295"/>
    <w:rsid w:val="00D62179"/>
    <w:rsid w:val="00DA2D93"/>
    <w:rsid w:val="00DF137F"/>
    <w:rsid w:val="00DF1B64"/>
    <w:rsid w:val="00E02C29"/>
    <w:rsid w:val="00E1202D"/>
    <w:rsid w:val="00E21225"/>
    <w:rsid w:val="00E22C8E"/>
    <w:rsid w:val="00E75BAB"/>
    <w:rsid w:val="00E939D2"/>
    <w:rsid w:val="00EA0B26"/>
    <w:rsid w:val="00EA702D"/>
    <w:rsid w:val="00ED39DD"/>
    <w:rsid w:val="00ED5085"/>
    <w:rsid w:val="00ED61F9"/>
    <w:rsid w:val="00F13C1A"/>
    <w:rsid w:val="00F41C41"/>
    <w:rsid w:val="00F632EC"/>
    <w:rsid w:val="00F71CAF"/>
    <w:rsid w:val="00F73F82"/>
    <w:rsid w:val="00FA36EB"/>
    <w:rsid w:val="00FB1F53"/>
    <w:rsid w:val="00FC430E"/>
    <w:rsid w:val="00FE4CBE"/>
    <w:rsid w:val="0B67150B"/>
    <w:rsid w:val="1BDD792E"/>
    <w:rsid w:val="1E776608"/>
    <w:rsid w:val="2743417D"/>
    <w:rsid w:val="2CEB3743"/>
    <w:rsid w:val="57021DB8"/>
    <w:rsid w:val="5A543262"/>
    <w:rsid w:val="61490E8D"/>
    <w:rsid w:val="619C448D"/>
    <w:rsid w:val="6B856204"/>
    <w:rsid w:val="79B76162"/>
    <w:rsid w:val="7ED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3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2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4.wmf"/><Relationship Id="rId24" Type="http://schemas.openxmlformats.org/officeDocument/2006/relationships/control" Target="activeX/activeX16.xml"/><Relationship Id="rId23" Type="http://schemas.openxmlformats.org/officeDocument/2006/relationships/control" Target="activeX/activeX15.xml"/><Relationship Id="rId22" Type="http://schemas.openxmlformats.org/officeDocument/2006/relationships/control" Target="activeX/activeX14.xml"/><Relationship Id="rId21" Type="http://schemas.openxmlformats.org/officeDocument/2006/relationships/control" Target="activeX/activeX13.xml"/><Relationship Id="rId20" Type="http://schemas.openxmlformats.org/officeDocument/2006/relationships/control" Target="activeX/activeX12.xml"/><Relationship Id="rId2" Type="http://schemas.openxmlformats.org/officeDocument/2006/relationships/settings" Target="settings.xml"/><Relationship Id="rId19" Type="http://schemas.openxmlformats.org/officeDocument/2006/relationships/control" Target="activeX/activeX11.xml"/><Relationship Id="rId18" Type="http://schemas.openxmlformats.org/officeDocument/2006/relationships/control" Target="activeX/activeX10.xml"/><Relationship Id="rId17" Type="http://schemas.openxmlformats.org/officeDocument/2006/relationships/control" Target="activeX/activeX9.xml"/><Relationship Id="rId16" Type="http://schemas.openxmlformats.org/officeDocument/2006/relationships/image" Target="media/image3.wmf"/><Relationship Id="rId15" Type="http://schemas.openxmlformats.org/officeDocument/2006/relationships/control" Target="activeX/activeX8.xml"/><Relationship Id="rId14" Type="http://schemas.openxmlformats.org/officeDocument/2006/relationships/control" Target="activeX/activeX7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939</Words>
  <Characters>5354</Characters>
  <Lines>44</Lines>
  <Paragraphs>12</Paragraphs>
  <TotalTime>2</TotalTime>
  <ScaleCrop>false</ScaleCrop>
  <LinksUpToDate>false</LinksUpToDate>
  <CharactersWithSpaces>6281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2020-04-20T02:14:00Z</dcterms:created>
  <dc:creator>李璐</dc:creator>
  <cp:lastModifiedBy>李璐</cp:lastModifiedBy>
  <dcterms:modified xsi:type="dcterms:W3CDTF">2022-11-14T02:01:58Z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56C96B0DDE0D4351B1E0F704EA1388DE</vt:lpwstr>
  </property>
</Properties>
</file>